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08" w:lineRule="auto" w:before="223"/>
        <w:ind w:left="6872" w:right="2779" w:firstLine="10"/>
        <w:jc w:val="left"/>
        <w:rPr>
          <w:b/>
          <w:sz w:val="62"/>
        </w:rPr>
      </w:pPr>
      <w:r>
        <w:rPr/>
        <w:pict>
          <v:group style="position:absolute;margin-left:2.4pt;margin-top:0pt;width:609.6pt;height:792pt;mso-position-horizontal-relative:page;mso-position-vertical-relative:page;z-index:-2272" coordorigin="48,0" coordsize="12192,15840">
            <v:shape style="position:absolute;left:48;top:0;width:12192;height:15840" type="#_x0000_t75" stroked="false">
              <v:imagedata r:id="rId5" o:title=""/>
            </v:shape>
            <v:shape style="position:absolute;left:2418;top:402;width:7408;height:2859" type="#_x0000_t75" stroked="false">
              <v:imagedata r:id="rId6" o:title=""/>
            </v:shape>
            <v:shape style="position:absolute;left:5603;top:13163;width:805;height:848" type="#_x0000_t75" stroked="false">
              <v:imagedata r:id="rId7" o:title=""/>
            </v:shape>
            <w10:wrap type="none"/>
          </v:group>
        </w:pict>
      </w:r>
      <w:r>
        <w:rPr>
          <w:b/>
          <w:color w:val="18151A"/>
          <w:w w:val="90"/>
          <w:sz w:val="62"/>
        </w:rPr>
        <w:t>Stay </w:t>
      </w:r>
      <w:r>
        <w:rPr>
          <w:b/>
          <w:color w:val="18151A"/>
          <w:w w:val="85"/>
          <w:sz w:val="62"/>
        </w:rPr>
        <w:t>Safe!</w:t>
      </w:r>
    </w:p>
    <w:p>
      <w:pPr>
        <w:pStyle w:val="BodyText"/>
        <w:rPr>
          <w:b/>
          <w:sz w:val="100"/>
        </w:rPr>
      </w:pPr>
    </w:p>
    <w:p>
      <w:pPr>
        <w:spacing w:before="1"/>
        <w:ind w:left="1976" w:right="0" w:firstLine="0"/>
        <w:jc w:val="left"/>
        <w:rPr>
          <w:b/>
          <w:sz w:val="26"/>
        </w:rPr>
      </w:pPr>
      <w:r>
        <w:rPr>
          <w:b/>
          <w:color w:val="080808"/>
          <w:sz w:val="26"/>
        </w:rPr>
        <w:t>Speak Up ... Stay Safe: Community Health and Safety Training</w:t>
      </w:r>
    </w:p>
    <w:p>
      <w:pPr>
        <w:pStyle w:val="BodyText"/>
        <w:spacing w:line="297" w:lineRule="auto" w:before="213"/>
        <w:ind w:left="110" w:right="545" w:hanging="11"/>
      </w:pPr>
      <w:r>
        <w:rPr>
          <w:color w:val="010101"/>
        </w:rPr>
        <w:t>The community is a wonderful place! It is made up of new and interesting people, neighborhoods, jobs, homes, places to have fun and learn, and many ways to experience a good life. As people with disabilities become more included in their communities, they have access to greater resources and opportunities.</w:t>
      </w:r>
    </w:p>
    <w:p>
      <w:pPr>
        <w:pStyle w:val="BodyText"/>
        <w:spacing w:line="288" w:lineRule="auto"/>
        <w:ind w:left="104" w:firstLine="21"/>
      </w:pPr>
      <w:r>
        <w:rPr>
          <w:color w:val="010101"/>
          <w:w w:val="105"/>
        </w:rPr>
        <w:t>Increased</w:t>
      </w:r>
      <w:r>
        <w:rPr>
          <w:color w:val="010101"/>
          <w:spacing w:val="-46"/>
          <w:w w:val="105"/>
        </w:rPr>
        <w:t> </w:t>
      </w:r>
      <w:r>
        <w:rPr>
          <w:color w:val="010101"/>
          <w:w w:val="105"/>
        </w:rPr>
        <w:t>opportunities</w:t>
      </w:r>
      <w:r>
        <w:rPr>
          <w:color w:val="010101"/>
          <w:spacing w:val="-48"/>
          <w:w w:val="105"/>
        </w:rPr>
        <w:t> </w:t>
      </w:r>
      <w:r>
        <w:rPr>
          <w:color w:val="010101"/>
          <w:w w:val="105"/>
        </w:rPr>
        <w:t>can</w:t>
      </w:r>
      <w:r>
        <w:rPr>
          <w:color w:val="010101"/>
          <w:spacing w:val="-44"/>
          <w:w w:val="105"/>
        </w:rPr>
        <w:t> </w:t>
      </w:r>
      <w:r>
        <w:rPr>
          <w:color w:val="010101"/>
          <w:w w:val="105"/>
        </w:rPr>
        <w:t>also</w:t>
      </w:r>
      <w:r>
        <w:rPr>
          <w:color w:val="010101"/>
          <w:spacing w:val="-43"/>
          <w:w w:val="105"/>
        </w:rPr>
        <w:t> </w:t>
      </w:r>
      <w:r>
        <w:rPr>
          <w:color w:val="010101"/>
          <w:w w:val="105"/>
        </w:rPr>
        <w:t>bring</w:t>
      </w:r>
      <w:r>
        <w:rPr>
          <w:color w:val="010101"/>
          <w:spacing w:val="-45"/>
          <w:w w:val="105"/>
        </w:rPr>
        <w:t> </w:t>
      </w:r>
      <w:r>
        <w:rPr>
          <w:color w:val="010101"/>
          <w:w w:val="105"/>
        </w:rPr>
        <w:t>additional</w:t>
      </w:r>
      <w:r>
        <w:rPr>
          <w:color w:val="010101"/>
          <w:spacing w:val="-45"/>
          <w:w w:val="105"/>
        </w:rPr>
        <w:t> </w:t>
      </w:r>
      <w:r>
        <w:rPr>
          <w:color w:val="010101"/>
          <w:w w:val="105"/>
        </w:rPr>
        <w:t>risks</w:t>
      </w:r>
      <w:r>
        <w:rPr>
          <w:color w:val="010101"/>
          <w:spacing w:val="-45"/>
          <w:w w:val="105"/>
        </w:rPr>
        <w:t> </w:t>
      </w:r>
      <w:r>
        <w:rPr>
          <w:color w:val="010101"/>
          <w:w w:val="105"/>
        </w:rPr>
        <w:t>and</w:t>
      </w:r>
      <w:r>
        <w:rPr>
          <w:color w:val="010101"/>
          <w:spacing w:val="-43"/>
          <w:w w:val="105"/>
        </w:rPr>
        <w:t> </w:t>
      </w:r>
      <w:r>
        <w:rPr>
          <w:color w:val="010101"/>
          <w:w w:val="105"/>
        </w:rPr>
        <w:t>challenges.</w:t>
      </w:r>
      <w:r>
        <w:rPr>
          <w:color w:val="010101"/>
          <w:spacing w:val="-35"/>
          <w:w w:val="105"/>
        </w:rPr>
        <w:t> </w:t>
      </w:r>
      <w:r>
        <w:rPr>
          <w:color w:val="010101"/>
          <w:w w:val="105"/>
        </w:rPr>
        <w:t>These</w:t>
      </w:r>
      <w:r>
        <w:rPr>
          <w:color w:val="010101"/>
          <w:spacing w:val="-42"/>
          <w:w w:val="105"/>
        </w:rPr>
        <w:t> </w:t>
      </w:r>
      <w:r>
        <w:rPr>
          <w:color w:val="010101"/>
          <w:w w:val="105"/>
        </w:rPr>
        <w:t>trainings</w:t>
      </w:r>
      <w:r>
        <w:rPr>
          <w:color w:val="010101"/>
          <w:spacing w:val="-43"/>
          <w:w w:val="105"/>
        </w:rPr>
        <w:t> </w:t>
      </w:r>
      <w:r>
        <w:rPr>
          <w:color w:val="010101"/>
          <w:spacing w:val="-3"/>
          <w:w w:val="105"/>
        </w:rPr>
        <w:t>help</w:t>
      </w:r>
      <w:r>
        <w:rPr>
          <w:color w:val="010101"/>
          <w:spacing w:val="-42"/>
          <w:w w:val="105"/>
        </w:rPr>
        <w:t> </w:t>
      </w:r>
      <w:r>
        <w:rPr>
          <w:color w:val="010101"/>
          <w:w w:val="105"/>
        </w:rPr>
        <w:t>inform</w:t>
      </w:r>
      <w:r>
        <w:rPr>
          <w:color w:val="010101"/>
          <w:spacing w:val="-44"/>
          <w:w w:val="105"/>
        </w:rPr>
        <w:t> </w:t>
      </w:r>
      <w:r>
        <w:rPr>
          <w:color w:val="010101"/>
          <w:w w:val="105"/>
        </w:rPr>
        <w:t>and</w:t>
      </w:r>
      <w:r>
        <w:rPr>
          <w:color w:val="010101"/>
          <w:spacing w:val="-44"/>
          <w:w w:val="105"/>
        </w:rPr>
        <w:t> </w:t>
      </w:r>
      <w:r>
        <w:rPr>
          <w:color w:val="010101"/>
          <w:w w:val="105"/>
        </w:rPr>
        <w:t>support people</w:t>
      </w:r>
      <w:r>
        <w:rPr>
          <w:color w:val="010101"/>
          <w:spacing w:val="-12"/>
          <w:w w:val="105"/>
        </w:rPr>
        <w:t> </w:t>
      </w:r>
      <w:r>
        <w:rPr>
          <w:color w:val="010101"/>
          <w:w w:val="105"/>
        </w:rPr>
        <w:t>in</w:t>
      </w:r>
      <w:r>
        <w:rPr>
          <w:color w:val="010101"/>
          <w:spacing w:val="-2"/>
          <w:w w:val="105"/>
        </w:rPr>
        <w:t> </w:t>
      </w:r>
      <w:r>
        <w:rPr>
          <w:color w:val="010101"/>
          <w:w w:val="105"/>
        </w:rPr>
        <w:t>learning</w:t>
      </w:r>
      <w:r>
        <w:rPr>
          <w:color w:val="010101"/>
          <w:spacing w:val="-4"/>
          <w:w w:val="105"/>
        </w:rPr>
        <w:t> </w:t>
      </w:r>
      <w:r>
        <w:rPr>
          <w:color w:val="010101"/>
          <w:w w:val="105"/>
        </w:rPr>
        <w:t>how</w:t>
      </w:r>
      <w:r>
        <w:rPr>
          <w:color w:val="010101"/>
          <w:spacing w:val="-10"/>
          <w:w w:val="105"/>
        </w:rPr>
        <w:t> </w:t>
      </w:r>
      <w:r>
        <w:rPr>
          <w:color w:val="010101"/>
          <w:w w:val="105"/>
        </w:rPr>
        <w:t>to</w:t>
      </w:r>
      <w:r>
        <w:rPr>
          <w:color w:val="010101"/>
          <w:spacing w:val="-11"/>
          <w:w w:val="105"/>
        </w:rPr>
        <w:t> </w:t>
      </w:r>
      <w:r>
        <w:rPr>
          <w:color w:val="010101"/>
          <w:w w:val="105"/>
        </w:rPr>
        <w:t>be</w:t>
      </w:r>
      <w:r>
        <w:rPr>
          <w:color w:val="010101"/>
          <w:spacing w:val="-14"/>
          <w:w w:val="105"/>
        </w:rPr>
        <w:t> </w:t>
      </w:r>
      <w:r>
        <w:rPr>
          <w:color w:val="010101"/>
          <w:w w:val="105"/>
        </w:rPr>
        <w:t>safe</w:t>
      </w:r>
      <w:r>
        <w:rPr>
          <w:color w:val="010101"/>
          <w:spacing w:val="-13"/>
          <w:w w:val="105"/>
        </w:rPr>
        <w:t> </w:t>
      </w:r>
      <w:r>
        <w:rPr>
          <w:color w:val="010101"/>
          <w:w w:val="105"/>
        </w:rPr>
        <w:t>and</w:t>
      </w:r>
      <w:r>
        <w:rPr>
          <w:color w:val="010101"/>
          <w:spacing w:val="-5"/>
          <w:w w:val="105"/>
        </w:rPr>
        <w:t> </w:t>
      </w:r>
      <w:r>
        <w:rPr>
          <w:color w:val="010101"/>
          <w:w w:val="105"/>
        </w:rPr>
        <w:t>healthy.</w:t>
      </w:r>
    </w:p>
    <w:p>
      <w:pPr>
        <w:spacing w:before="180"/>
        <w:ind w:left="3666" w:right="0" w:firstLine="0"/>
        <w:jc w:val="left"/>
        <w:rPr>
          <w:b/>
          <w:sz w:val="21"/>
        </w:rPr>
      </w:pPr>
      <w:r>
        <w:rPr>
          <w:b/>
          <w:color w:val="060606"/>
          <w:sz w:val="21"/>
        </w:rPr>
        <w:t>TWO TYPES OF TRAININGS OFFERED:</w:t>
      </w:r>
    </w:p>
    <w:p>
      <w:pPr>
        <w:pStyle w:val="ListParagraph"/>
        <w:numPr>
          <w:ilvl w:val="0"/>
          <w:numId w:val="1"/>
        </w:numPr>
        <w:tabs>
          <w:tab w:pos="346" w:val="left" w:leader="none"/>
        </w:tabs>
        <w:spacing w:line="290" w:lineRule="auto" w:before="238" w:after="0"/>
        <w:ind w:left="112" w:right="191" w:firstLine="13"/>
        <w:jc w:val="left"/>
        <w:rPr>
          <w:color w:val="030303"/>
          <w:sz w:val="22"/>
        </w:rPr>
      </w:pPr>
      <w:r>
        <w:rPr>
          <w:color w:val="030303"/>
          <w:sz w:val="22"/>
        </w:rPr>
        <w:t>The first training is for parents/professionals/caregivers. It explains the purpose </w:t>
      </w:r>
      <w:r>
        <w:rPr>
          <w:color w:val="030303"/>
          <w:spacing w:val="-4"/>
          <w:sz w:val="22"/>
        </w:rPr>
        <w:t>and </w:t>
      </w:r>
      <w:r>
        <w:rPr>
          <w:color w:val="030303"/>
          <w:sz w:val="22"/>
        </w:rPr>
        <w:t>content of </w:t>
      </w:r>
      <w:r>
        <w:rPr>
          <w:color w:val="030303"/>
          <w:spacing w:val="-3"/>
          <w:sz w:val="22"/>
        </w:rPr>
        <w:t>the </w:t>
      </w:r>
      <w:r>
        <w:rPr>
          <w:color w:val="030303"/>
          <w:sz w:val="22"/>
        </w:rPr>
        <w:t>training session for people with disabilities, offers examples of some </w:t>
      </w:r>
      <w:r>
        <w:rPr>
          <w:color w:val="030303"/>
          <w:spacing w:val="1"/>
          <w:sz w:val="22"/>
        </w:rPr>
        <w:t>of </w:t>
      </w:r>
      <w:r>
        <w:rPr>
          <w:color w:val="030303"/>
          <w:sz w:val="22"/>
        </w:rPr>
        <w:t>the highlights </w:t>
      </w:r>
      <w:r>
        <w:rPr>
          <w:color w:val="030303"/>
          <w:spacing w:val="-4"/>
          <w:sz w:val="22"/>
        </w:rPr>
        <w:t>of </w:t>
      </w:r>
      <w:r>
        <w:rPr>
          <w:color w:val="030303"/>
          <w:sz w:val="22"/>
        </w:rPr>
        <w:t>the material, and discusses how to continue supporting people in the future. Drinks and snacks are</w:t>
      </w:r>
      <w:r>
        <w:rPr>
          <w:color w:val="030303"/>
          <w:spacing w:val="-43"/>
          <w:sz w:val="22"/>
        </w:rPr>
        <w:t> </w:t>
      </w:r>
      <w:r>
        <w:rPr>
          <w:color w:val="030303"/>
          <w:sz w:val="22"/>
        </w:rPr>
        <w:t>provided.</w:t>
      </w:r>
    </w:p>
    <w:p>
      <w:pPr>
        <w:pStyle w:val="ListParagraph"/>
        <w:numPr>
          <w:ilvl w:val="0"/>
          <w:numId w:val="1"/>
        </w:numPr>
        <w:tabs>
          <w:tab w:pos="346" w:val="left" w:leader="none"/>
        </w:tabs>
        <w:spacing w:line="300" w:lineRule="auto" w:before="164" w:after="0"/>
        <w:ind w:left="108" w:right="645" w:firstLine="13"/>
        <w:jc w:val="left"/>
        <w:rPr>
          <w:color w:val="010101"/>
          <w:sz w:val="22"/>
        </w:rPr>
      </w:pPr>
      <w:r>
        <w:rPr>
          <w:color w:val="010101"/>
          <w:sz w:val="22"/>
        </w:rPr>
        <w:t>The second training is for people with disabilities. It is a more thorough and interactive session. Drinks, snacks, and lunch are provided. *Topics</w:t>
      </w:r>
      <w:r>
        <w:rPr>
          <w:color w:val="010101"/>
          <w:spacing w:val="-3"/>
          <w:sz w:val="22"/>
        </w:rPr>
        <w:t> </w:t>
      </w:r>
      <w:r>
        <w:rPr>
          <w:color w:val="010101"/>
          <w:sz w:val="22"/>
        </w:rPr>
        <w:t>include:</w:t>
      </w:r>
    </w:p>
    <w:p>
      <w:pPr>
        <w:pStyle w:val="ListParagraph"/>
        <w:numPr>
          <w:ilvl w:val="1"/>
          <w:numId w:val="1"/>
        </w:numPr>
        <w:tabs>
          <w:tab w:pos="4081" w:val="left" w:leader="none"/>
          <w:tab w:pos="4082" w:val="left" w:leader="none"/>
        </w:tabs>
        <w:spacing w:line="240" w:lineRule="auto" w:before="167" w:after="0"/>
        <w:ind w:left="4081" w:right="0" w:hanging="373"/>
        <w:jc w:val="left"/>
        <w:rPr>
          <w:color w:val="030303"/>
          <w:sz w:val="22"/>
        </w:rPr>
      </w:pPr>
      <w:r>
        <w:rPr>
          <w:color w:val="030303"/>
          <w:sz w:val="22"/>
        </w:rPr>
        <w:t>Healthy relationships and</w:t>
      </w:r>
      <w:r>
        <w:rPr>
          <w:color w:val="030303"/>
          <w:spacing w:val="-16"/>
          <w:sz w:val="22"/>
        </w:rPr>
        <w:t> </w:t>
      </w:r>
      <w:r>
        <w:rPr>
          <w:color w:val="030303"/>
          <w:sz w:val="22"/>
        </w:rPr>
        <w:t>boundaries</w:t>
      </w:r>
    </w:p>
    <w:p>
      <w:pPr>
        <w:pStyle w:val="ListParagraph"/>
        <w:numPr>
          <w:ilvl w:val="1"/>
          <w:numId w:val="1"/>
        </w:numPr>
        <w:tabs>
          <w:tab w:pos="4064" w:val="left" w:leader="none"/>
          <w:tab w:pos="4065" w:val="left" w:leader="none"/>
        </w:tabs>
        <w:spacing w:line="240" w:lineRule="auto" w:before="66" w:after="0"/>
        <w:ind w:left="4064" w:right="0" w:hanging="347"/>
        <w:jc w:val="left"/>
        <w:rPr>
          <w:color w:val="040404"/>
          <w:sz w:val="22"/>
        </w:rPr>
      </w:pPr>
      <w:r>
        <w:rPr>
          <w:color w:val="040404"/>
          <w:sz w:val="22"/>
        </w:rPr>
        <w:t>Sexuality and</w:t>
      </w:r>
      <w:r>
        <w:rPr>
          <w:color w:val="040404"/>
          <w:spacing w:val="-18"/>
          <w:sz w:val="22"/>
        </w:rPr>
        <w:t> </w:t>
      </w:r>
      <w:r>
        <w:rPr>
          <w:color w:val="040404"/>
          <w:sz w:val="22"/>
        </w:rPr>
        <w:t>dating</w:t>
      </w:r>
    </w:p>
    <w:p>
      <w:pPr>
        <w:pStyle w:val="ListParagraph"/>
        <w:numPr>
          <w:ilvl w:val="1"/>
          <w:numId w:val="1"/>
        </w:numPr>
        <w:tabs>
          <w:tab w:pos="4059" w:val="left" w:leader="none"/>
          <w:tab w:pos="4060" w:val="left" w:leader="none"/>
        </w:tabs>
        <w:spacing w:line="240" w:lineRule="auto" w:before="56" w:after="0"/>
        <w:ind w:left="4060" w:right="0" w:hanging="343"/>
        <w:jc w:val="left"/>
        <w:rPr>
          <w:color w:val="030303"/>
          <w:sz w:val="22"/>
        </w:rPr>
      </w:pPr>
      <w:r>
        <w:rPr>
          <w:color w:val="030303"/>
          <w:sz w:val="22"/>
        </w:rPr>
        <w:t>Abuse, bullying, and</w:t>
      </w:r>
      <w:r>
        <w:rPr>
          <w:color w:val="030303"/>
          <w:spacing w:val="-1"/>
          <w:sz w:val="22"/>
        </w:rPr>
        <w:t> </w:t>
      </w:r>
      <w:r>
        <w:rPr>
          <w:color w:val="030303"/>
          <w:sz w:val="22"/>
        </w:rPr>
        <w:t>harassment</w:t>
      </w:r>
    </w:p>
    <w:p>
      <w:pPr>
        <w:pStyle w:val="ListParagraph"/>
        <w:numPr>
          <w:ilvl w:val="1"/>
          <w:numId w:val="1"/>
        </w:numPr>
        <w:tabs>
          <w:tab w:pos="4081" w:val="left" w:leader="none"/>
          <w:tab w:pos="4082" w:val="left" w:leader="none"/>
        </w:tabs>
        <w:spacing w:line="240" w:lineRule="auto" w:before="60" w:after="0"/>
        <w:ind w:left="4081" w:right="0" w:hanging="369"/>
        <w:jc w:val="left"/>
        <w:rPr>
          <w:color w:val="020202"/>
          <w:sz w:val="22"/>
        </w:rPr>
      </w:pPr>
      <w:r>
        <w:rPr>
          <w:color w:val="020202"/>
          <w:sz w:val="22"/>
        </w:rPr>
        <w:t>Human</w:t>
      </w:r>
      <w:r>
        <w:rPr>
          <w:color w:val="020202"/>
          <w:spacing w:val="-4"/>
          <w:sz w:val="22"/>
        </w:rPr>
        <w:t> </w:t>
      </w:r>
      <w:r>
        <w:rPr>
          <w:color w:val="020202"/>
          <w:sz w:val="22"/>
        </w:rPr>
        <w:t>trafficking</w:t>
      </w:r>
    </w:p>
    <w:p>
      <w:pPr>
        <w:pStyle w:val="ListParagraph"/>
        <w:numPr>
          <w:ilvl w:val="1"/>
          <w:numId w:val="1"/>
        </w:numPr>
        <w:tabs>
          <w:tab w:pos="4059" w:val="left" w:leader="none"/>
          <w:tab w:pos="4060" w:val="left" w:leader="none"/>
        </w:tabs>
        <w:spacing w:line="240" w:lineRule="auto" w:before="64" w:after="0"/>
        <w:ind w:left="4060" w:right="0" w:hanging="343"/>
        <w:jc w:val="left"/>
        <w:rPr>
          <w:color w:val="020202"/>
          <w:sz w:val="22"/>
        </w:rPr>
      </w:pPr>
      <w:r>
        <w:rPr>
          <w:color w:val="020202"/>
          <w:sz w:val="22"/>
        </w:rPr>
        <w:t>Alcohol, drugs, and</w:t>
      </w:r>
      <w:r>
        <w:rPr>
          <w:color w:val="020202"/>
          <w:spacing w:val="-2"/>
          <w:sz w:val="22"/>
        </w:rPr>
        <w:t> </w:t>
      </w:r>
      <w:r>
        <w:rPr>
          <w:color w:val="020202"/>
          <w:sz w:val="22"/>
        </w:rPr>
        <w:t>weapons</w:t>
      </w:r>
    </w:p>
    <w:p>
      <w:pPr>
        <w:pStyle w:val="ListParagraph"/>
        <w:numPr>
          <w:ilvl w:val="1"/>
          <w:numId w:val="1"/>
        </w:numPr>
        <w:tabs>
          <w:tab w:pos="4068" w:val="left" w:leader="none"/>
          <w:tab w:pos="4069" w:val="left" w:leader="none"/>
        </w:tabs>
        <w:spacing w:line="240" w:lineRule="auto" w:before="58" w:after="0"/>
        <w:ind w:left="4068" w:right="0" w:hanging="356"/>
        <w:jc w:val="left"/>
        <w:rPr>
          <w:color w:val="020202"/>
          <w:sz w:val="22"/>
        </w:rPr>
      </w:pPr>
      <w:r>
        <w:rPr>
          <w:color w:val="020202"/>
          <w:sz w:val="22"/>
        </w:rPr>
        <w:t>Online</w:t>
      </w:r>
      <w:r>
        <w:rPr>
          <w:color w:val="020202"/>
          <w:spacing w:val="-6"/>
          <w:sz w:val="22"/>
        </w:rPr>
        <w:t> </w:t>
      </w:r>
      <w:r>
        <w:rPr>
          <w:color w:val="020202"/>
          <w:sz w:val="22"/>
        </w:rPr>
        <w:t>safety</w:t>
      </w:r>
    </w:p>
    <w:p>
      <w:pPr>
        <w:spacing w:line="302" w:lineRule="auto" w:before="234"/>
        <w:ind w:left="105" w:right="81" w:firstLine="20"/>
        <w:jc w:val="left"/>
        <w:rPr>
          <w:sz w:val="22"/>
        </w:rPr>
      </w:pPr>
      <w:r>
        <w:rPr>
          <w:color w:val="020202"/>
          <w:sz w:val="22"/>
        </w:rPr>
        <w:t>*This material was developed by people with disabilities, advocates, family members, allies, direct support professionals, and lawyers. Some of the material is blunt, graphic, and honest. Participants will discuss technical and slang terms, as well as content that might be sensitive. A mental health support professional will be at each session for people with disabilities to provide support, if needed. </w:t>
      </w:r>
      <w:r>
        <w:rPr>
          <w:b/>
          <w:color w:val="020202"/>
          <w:sz w:val="21"/>
        </w:rPr>
        <w:t>People who are uninformed, silent, or powerless are more likely to be abused. The more people know, the more they are empowered to be safe and health</w:t>
      </w:r>
      <w:r>
        <w:rPr>
          <w:b/>
          <w:color w:val="020202"/>
          <w:position w:val="1"/>
          <w:sz w:val="21"/>
        </w:rPr>
        <w:t>y</w:t>
      </w:r>
      <w:r>
        <w:rPr>
          <w:b/>
          <w:color w:val="020202"/>
          <w:sz w:val="21"/>
        </w:rPr>
        <w:t>. </w:t>
      </w:r>
      <w:r>
        <w:rPr>
          <w:color w:val="020202"/>
          <w:sz w:val="22"/>
        </w:rPr>
        <w:t>If you have any additional questions, please contact Olivia Caldeira </w:t>
      </w:r>
      <w:r>
        <w:rPr>
          <w:color w:val="020202"/>
          <w:sz w:val="22"/>
          <w:u w:val="thick" w:color="384453"/>
        </w:rPr>
        <w:t>(</w:t>
      </w:r>
      <w:r>
        <w:rPr>
          <w:color w:val="2A4253"/>
          <w:sz w:val="22"/>
          <w:u w:val="thick" w:color="384453"/>
        </w:rPr>
        <w:t>caldeira.cde@gmai</w:t>
      </w:r>
      <w:r>
        <w:rPr>
          <w:color w:val="2B567A"/>
          <w:sz w:val="22"/>
          <w:u w:val="thick" w:color="384453"/>
        </w:rPr>
        <w:t>l.</w:t>
      </w:r>
      <w:r>
        <w:rPr>
          <w:color w:val="2A4253"/>
          <w:sz w:val="22"/>
          <w:u w:val="thick" w:color="384453"/>
        </w:rPr>
        <w:t>com</w:t>
      </w:r>
      <w:r>
        <w:rPr>
          <w:color w:val="020202"/>
          <w:sz w:val="22"/>
          <w:u w:val="thick" w:color="384453"/>
        </w:rPr>
        <w:t>)</w:t>
      </w:r>
      <w:r>
        <w:rPr>
          <w:color w:val="020202"/>
          <w:sz w:val="22"/>
        </w:rPr>
        <w:t> or Sue Hetrick </w:t>
      </w:r>
      <w:r>
        <w:rPr>
          <w:color w:val="020202"/>
          <w:sz w:val="22"/>
          <w:u w:val="thick" w:color="384457"/>
        </w:rPr>
        <w:t>(</w:t>
      </w:r>
      <w:r>
        <w:rPr>
          <w:color w:val="2A4253"/>
          <w:sz w:val="22"/>
          <w:u w:val="thick" w:color="384457"/>
        </w:rPr>
        <w:t>hetr</w:t>
      </w:r>
      <w:r>
        <w:rPr>
          <w:color w:val="39505F"/>
          <w:sz w:val="22"/>
          <w:u w:val="thick" w:color="384457"/>
        </w:rPr>
        <w:t>i</w:t>
      </w:r>
      <w:r>
        <w:rPr>
          <w:color w:val="2A4253"/>
          <w:sz w:val="22"/>
          <w:u w:val="thick" w:color="384457"/>
        </w:rPr>
        <w:t>ck</w:t>
      </w:r>
      <w:r>
        <w:rPr>
          <w:color w:val="2C2F34"/>
          <w:sz w:val="22"/>
          <w:u w:val="thick" w:color="384457"/>
        </w:rPr>
        <w:t>.</w:t>
      </w:r>
      <w:r>
        <w:rPr>
          <w:color w:val="2A4253"/>
          <w:sz w:val="22"/>
          <w:u w:val="thick" w:color="384457"/>
        </w:rPr>
        <w:t>cde@gmail.com</w:t>
      </w:r>
      <w:r>
        <w:rPr>
          <w:color w:val="020202"/>
          <w:sz w:val="22"/>
          <w:u w:val="thick" w:color="384457"/>
        </w:rPr>
        <w:t>)</w:t>
      </w:r>
      <w:r>
        <w:rPr>
          <w:color w:val="020202"/>
          <w:sz w:val="22"/>
        </w:rPr>
        <w:t> at The Center for Disability Empowerment (614) 575-8055.</w:t>
      </w:r>
    </w:p>
    <w:p>
      <w:pPr>
        <w:pStyle w:val="BodyText"/>
        <w:rPr>
          <w:sz w:val="42"/>
        </w:rPr>
      </w:pPr>
    </w:p>
    <w:p>
      <w:pPr>
        <w:pStyle w:val="BodyText"/>
        <w:rPr>
          <w:sz w:val="42"/>
        </w:rPr>
      </w:pPr>
    </w:p>
    <w:p>
      <w:pPr>
        <w:spacing w:before="353"/>
        <w:ind w:left="2831" w:right="0" w:firstLine="0"/>
        <w:jc w:val="left"/>
        <w:rPr>
          <w:sz w:val="29"/>
        </w:rPr>
      </w:pPr>
      <w:r>
        <w:rPr>
          <w:color w:val="852F43"/>
          <w:sz w:val="29"/>
        </w:rPr>
        <w:t>Th</w:t>
      </w:r>
      <w:r>
        <w:rPr>
          <w:color w:val="6D2F3D"/>
          <w:sz w:val="29"/>
        </w:rPr>
        <w:t>e </w:t>
      </w:r>
      <w:r>
        <w:rPr>
          <w:color w:val="852F43"/>
          <w:sz w:val="29"/>
        </w:rPr>
        <w:t>Cen</w:t>
      </w:r>
      <w:r>
        <w:rPr>
          <w:color w:val="A02F44"/>
          <w:sz w:val="29"/>
        </w:rPr>
        <w:t>t</w:t>
      </w:r>
      <w:r>
        <w:rPr>
          <w:color w:val="852F43"/>
          <w:sz w:val="29"/>
        </w:rPr>
        <w:t>er for Disability Empow</w:t>
      </w:r>
      <w:r>
        <w:rPr>
          <w:color w:val="6D2F3D"/>
          <w:sz w:val="29"/>
        </w:rPr>
        <w:t>e</w:t>
      </w:r>
      <w:r>
        <w:rPr>
          <w:color w:val="852F43"/>
          <w:sz w:val="29"/>
        </w:rPr>
        <w:t>rm</w:t>
      </w:r>
      <w:r>
        <w:rPr>
          <w:color w:val="6D2F3D"/>
          <w:sz w:val="29"/>
        </w:rPr>
        <w:t>e</w:t>
      </w:r>
      <w:r>
        <w:rPr>
          <w:color w:val="852F43"/>
          <w:sz w:val="29"/>
        </w:rPr>
        <w:t>n</w:t>
      </w:r>
      <w:r>
        <w:rPr>
          <w:color w:val="A02F44"/>
          <w:sz w:val="29"/>
        </w:rPr>
        <w:t>t</w:t>
      </w:r>
    </w:p>
    <w:p>
      <w:pPr>
        <w:spacing w:before="78"/>
        <w:ind w:left="2749" w:right="2906" w:firstLine="0"/>
        <w:jc w:val="center"/>
        <w:rPr>
          <w:rFonts w:ascii="Times New Roman"/>
          <w:i/>
          <w:sz w:val="16"/>
        </w:rPr>
      </w:pPr>
      <w:r>
        <w:rPr>
          <w:rFonts w:ascii="Times New Roman"/>
          <w:i/>
          <w:color w:val="75535A"/>
          <w:w w:val="110"/>
          <w:sz w:val="16"/>
        </w:rPr>
        <w:t>Providing Resources ond Advocacy for Community Living in Central Ohio</w:t>
      </w:r>
    </w:p>
    <w:sectPr>
      <w:type w:val="continuous"/>
      <w:pgSz w:w="12240" w:h="15840"/>
      <w:pgMar w:top="1020" w:bottom="280" w:left="620" w:right="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12" w:hanging="221"/>
        <w:jc w:val="left"/>
      </w:pPr>
      <w:rPr>
        <w:rFonts w:hint="default"/>
        <w:spacing w:val="-1"/>
        <w:w w:val="83"/>
      </w:rPr>
    </w:lvl>
    <w:lvl w:ilvl="1">
      <w:start w:val="0"/>
      <w:numFmt w:val="bullet"/>
      <w:lvlText w:val="•"/>
      <w:lvlJc w:val="left"/>
      <w:pPr>
        <w:ind w:left="4081" w:hanging="373"/>
      </w:pPr>
      <w:rPr>
        <w:rFonts w:hint="default"/>
        <w:w w:val="121"/>
        <w:position w:val="1"/>
      </w:rPr>
    </w:lvl>
    <w:lvl w:ilvl="2">
      <w:start w:val="0"/>
      <w:numFmt w:val="bullet"/>
      <w:lvlText w:val="•"/>
      <w:lvlJc w:val="left"/>
      <w:pPr>
        <w:ind w:left="4844" w:hanging="373"/>
      </w:pPr>
      <w:rPr>
        <w:rFonts w:hint="default"/>
      </w:rPr>
    </w:lvl>
    <w:lvl w:ilvl="3">
      <w:start w:val="0"/>
      <w:numFmt w:val="bullet"/>
      <w:lvlText w:val="•"/>
      <w:lvlJc w:val="left"/>
      <w:pPr>
        <w:ind w:left="5608" w:hanging="373"/>
      </w:pPr>
      <w:rPr>
        <w:rFonts w:hint="default"/>
      </w:rPr>
    </w:lvl>
    <w:lvl w:ilvl="4">
      <w:start w:val="0"/>
      <w:numFmt w:val="bullet"/>
      <w:lvlText w:val="•"/>
      <w:lvlJc w:val="left"/>
      <w:pPr>
        <w:ind w:left="6373" w:hanging="373"/>
      </w:pPr>
      <w:rPr>
        <w:rFonts w:hint="default"/>
      </w:rPr>
    </w:lvl>
    <w:lvl w:ilvl="5">
      <w:start w:val="0"/>
      <w:numFmt w:val="bullet"/>
      <w:lvlText w:val="•"/>
      <w:lvlJc w:val="left"/>
      <w:pPr>
        <w:ind w:left="7137" w:hanging="373"/>
      </w:pPr>
      <w:rPr>
        <w:rFonts w:hint="default"/>
      </w:rPr>
    </w:lvl>
    <w:lvl w:ilvl="6">
      <w:start w:val="0"/>
      <w:numFmt w:val="bullet"/>
      <w:lvlText w:val="•"/>
      <w:lvlJc w:val="left"/>
      <w:pPr>
        <w:ind w:left="7902" w:hanging="373"/>
      </w:pPr>
      <w:rPr>
        <w:rFonts w:hint="default"/>
      </w:rPr>
    </w:lvl>
    <w:lvl w:ilvl="7">
      <w:start w:val="0"/>
      <w:numFmt w:val="bullet"/>
      <w:lvlText w:val="•"/>
      <w:lvlJc w:val="left"/>
      <w:pPr>
        <w:ind w:left="8666" w:hanging="373"/>
      </w:pPr>
      <w:rPr>
        <w:rFonts w:hint="default"/>
      </w:rPr>
    </w:lvl>
    <w:lvl w:ilvl="8">
      <w:start w:val="0"/>
      <w:numFmt w:val="bullet"/>
      <w:lvlText w:val="•"/>
      <w:lvlJc w:val="left"/>
      <w:pPr>
        <w:ind w:left="9431" w:hanging="373"/>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ListParagraph" w:type="paragraph">
    <w:name w:val="List Paragraph"/>
    <w:basedOn w:val="Normal"/>
    <w:uiPriority w:val="1"/>
    <w:qFormat/>
    <w:pPr>
      <w:spacing w:before="56"/>
      <w:ind w:left="4060" w:hanging="343"/>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2018-01-23T15:04:25Z</dcterms:created>
  <dcterms:modified xsi:type="dcterms:W3CDTF">2018-01-23T15:04:25Z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2018-01-23T00:00:00Z</vt:filetime>
  </property>
  <property fmtid="{D5CDD505-2E9C-101B-9397-08002B2CF9AE}" pid="3" name="LastSaved">
    <vt:filetime>2018-01-23T00:00:00Z</vt:filetime>
  </property>
</Properties>
</file>